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4" w:rsidRDefault="00C140E4" w:rsidP="00C140E4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</w:t>
      </w:r>
      <w:bookmarkStart w:id="0" w:name="_GoBack"/>
      <w:bookmarkEnd w:id="0"/>
    </w:p>
    <w:p w:rsidR="00C140E4" w:rsidRPr="00344D33" w:rsidRDefault="00C140E4" w:rsidP="008A5F0D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</w:t>
      </w:r>
      <w:r w:rsidR="00ED132C">
        <w:rPr>
          <w:b/>
          <w:sz w:val="28"/>
          <w:szCs w:val="28"/>
          <w:lang w:val="ru-RU"/>
        </w:rPr>
        <w:t>о дисциплине Безопасность жизнедеятельности</w:t>
      </w:r>
      <w:r w:rsidR="00344D33">
        <w:rPr>
          <w:b/>
          <w:sz w:val="28"/>
          <w:szCs w:val="28"/>
          <w:lang w:val="ru-RU" w:eastAsia="ru-RU"/>
        </w:rPr>
        <w:t xml:space="preserve"> для группы ТЛЗ-</w:t>
      </w:r>
      <w:r w:rsidR="00344D33" w:rsidRPr="00344D33">
        <w:rPr>
          <w:b/>
          <w:sz w:val="28"/>
          <w:szCs w:val="28"/>
          <w:lang w:val="ru-RU" w:eastAsia="ru-RU"/>
        </w:rPr>
        <w:t>3</w:t>
      </w:r>
      <w:r w:rsidR="00ED132C">
        <w:rPr>
          <w:b/>
          <w:sz w:val="28"/>
          <w:szCs w:val="28"/>
          <w:lang w:val="ru-RU" w:eastAsia="ru-RU"/>
        </w:rPr>
        <w:t>3</w:t>
      </w:r>
      <w:r w:rsidR="00344D33" w:rsidRPr="00344D33">
        <w:rPr>
          <w:b/>
          <w:sz w:val="28"/>
          <w:szCs w:val="28"/>
          <w:lang w:val="ru-RU" w:eastAsia="ru-RU"/>
        </w:rPr>
        <w:t>.9</w:t>
      </w:r>
    </w:p>
    <w:p w:rsidR="00C140E4" w:rsidRPr="001E256A" w:rsidRDefault="00C140E4" w:rsidP="00ED132C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  <w:r w:rsidR="008A5F0D">
        <w:rPr>
          <w:b/>
          <w:sz w:val="28"/>
          <w:szCs w:val="28"/>
          <w:lang w:val="ru-RU"/>
        </w:rPr>
        <w:t>: Технология лесозаготовок</w:t>
      </w:r>
    </w:p>
    <w:p w:rsidR="00C140E4" w:rsidRPr="00B72B88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 w:rsidR="00344D33">
        <w:rPr>
          <w:sz w:val="28"/>
          <w:szCs w:val="28"/>
          <w:lang w:val="ru-RU"/>
        </w:rPr>
        <w:t xml:space="preserve"> ТЛЗ-3</w:t>
      </w:r>
      <w:r>
        <w:rPr>
          <w:sz w:val="28"/>
          <w:szCs w:val="28"/>
          <w:lang w:val="ru-RU"/>
        </w:rPr>
        <w:t>3</w:t>
      </w:r>
      <w:r w:rsidR="00344D33" w:rsidRPr="00B72B88">
        <w:rPr>
          <w:sz w:val="28"/>
          <w:szCs w:val="28"/>
          <w:lang w:val="ru-RU"/>
        </w:rPr>
        <w:t>.9</w:t>
      </w:r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C140E4" w:rsidRPr="00D4778C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r>
        <w:rPr>
          <w:sz w:val="28"/>
          <w:szCs w:val="28"/>
        </w:rPr>
        <w:t>lida</w:t>
      </w:r>
      <w:r w:rsidRPr="00D4778C">
        <w:rPr>
          <w:sz w:val="28"/>
          <w:szCs w:val="28"/>
          <w:lang w:val="ru-RU"/>
        </w:rPr>
        <w:t>9393.87@</w:t>
      </w:r>
      <w:r>
        <w:rPr>
          <w:sz w:val="28"/>
          <w:szCs w:val="28"/>
        </w:rPr>
        <w:t>mail</w:t>
      </w:r>
      <w:r w:rsidRPr="00D4778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576B7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>
        <w:rPr>
          <w:rFonts w:eastAsia="Calibri"/>
          <w:b/>
          <w:color w:val="000000"/>
          <w:sz w:val="28"/>
          <w:szCs w:val="23"/>
          <w:lang w:val="ru-RU"/>
        </w:rPr>
        <w:t>Домашняя контрольная работа:</w:t>
      </w:r>
    </w:p>
    <w:p w:rsidR="00576B7A" w:rsidRPr="00994FD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576B7A" w:rsidRPr="00994FDA" w:rsidRDefault="00576B7A" w:rsidP="00576B7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Домашняя контрольная работа по дисциплине </w:t>
      </w:r>
      <w:r w:rsidRPr="00994FDA">
        <w:rPr>
          <w:rFonts w:eastAsia="Calibri"/>
          <w:spacing w:val="-2"/>
          <w:szCs w:val="28"/>
          <w:lang w:val="ru-RU"/>
        </w:rPr>
        <w:t>«Безопасность   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Реферат сдается в печатном виде, на   листах формата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 xml:space="preserve">( </w:t>
      </w:r>
      <w:proofErr w:type="gramEnd"/>
      <w:r w:rsidRPr="00994FDA">
        <w:rPr>
          <w:rFonts w:eastAsia="Calibri"/>
          <w:szCs w:val="28"/>
          <w:lang w:val="ru-RU"/>
        </w:rPr>
        <w:t xml:space="preserve">на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 xml:space="preserve">[ </w:t>
      </w:r>
      <w:proofErr w:type="gramEnd"/>
      <w:r w:rsidRPr="00994FDA">
        <w:rPr>
          <w:rFonts w:eastAsia="Calibri"/>
          <w:szCs w:val="28"/>
          <w:lang w:val="ru-RU"/>
        </w:rPr>
        <w:t xml:space="preserve">2 ];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15-20</w:t>
      </w:r>
      <w:r w:rsidRPr="00994FDA">
        <w:rPr>
          <w:rFonts w:eastAsia="Calibri"/>
          <w:szCs w:val="28"/>
          <w:lang w:val="ru-RU"/>
        </w:rPr>
        <w:t xml:space="preserve"> страниц. Реферат должен быть скреплен в папку.</w:t>
      </w:r>
    </w:p>
    <w:p w:rsidR="00576B7A" w:rsidRPr="00994FDA" w:rsidRDefault="00576B7A" w:rsidP="00576B7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Контрольные работы, выполненные не по своему варианту или не в полном объеме, а </w:t>
      </w:r>
      <w:r w:rsidRPr="00994FDA">
        <w:rPr>
          <w:rFonts w:eastAsia="Calibri"/>
          <w:szCs w:val="28"/>
          <w:lang w:val="ru-RU"/>
        </w:rPr>
        <w:lastRenderedPageBreak/>
        <w:t>также не соответствующие настоящим методическим указаниям к рецензированию не принимаются.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</w:p>
    <w:p w:rsidR="00576B7A" w:rsidRPr="00994FDA" w:rsidRDefault="00576B7A" w:rsidP="00576B7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6B7A" w:rsidRPr="00B72B88" w:rsidTr="008B16C7">
        <w:tc>
          <w:tcPr>
            <w:tcW w:w="4785" w:type="dxa"/>
          </w:tcPr>
          <w:p w:rsidR="00576B7A" w:rsidRPr="00994FDA" w:rsidRDefault="00576B7A" w:rsidP="008B16C7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576B7A" w:rsidRPr="00994FDA" w:rsidRDefault="00576B7A" w:rsidP="00576B7A">
      <w:pPr>
        <w:rPr>
          <w:rFonts w:eastAsia="Calibri"/>
          <w:sz w:val="22"/>
          <w:lang w:val="ru-RU"/>
        </w:rPr>
      </w:pPr>
    </w:p>
    <w:p w:rsidR="00576B7A" w:rsidRPr="00994FDA" w:rsidRDefault="00576B7A" w:rsidP="00576B7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426"/>
      </w:tblGrid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Землетрясения. Правила безопасного поведения во время и после землетрясения.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576B7A" w:rsidRPr="00B72B88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576B7A" w:rsidRPr="00994FDA" w:rsidRDefault="00576B7A" w:rsidP="00576B7A">
      <w:pPr>
        <w:rPr>
          <w:rFonts w:eastAsia="Calibri"/>
          <w:lang w:val="ru-RU"/>
        </w:rPr>
      </w:pP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576B7A" w:rsidRPr="00994FDA" w:rsidRDefault="00576B7A" w:rsidP="00576B7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План   работы   ГО  объекта   в  условиях  чрезвычайных ситуаций.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576B7A" w:rsidRPr="00994FDA" w:rsidTr="008B16C7">
        <w:trPr>
          <w:trHeight w:val="62"/>
        </w:trPr>
        <w:tc>
          <w:tcPr>
            <w:tcW w:w="6216" w:type="dxa"/>
          </w:tcPr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576B7A" w:rsidRPr="00994FDA" w:rsidRDefault="00576B7A" w:rsidP="008B16C7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576B7A" w:rsidRPr="00994FDA" w:rsidRDefault="00576B7A" w:rsidP="00576B7A">
      <w:pPr>
        <w:spacing w:after="0"/>
        <w:rPr>
          <w:b/>
          <w:sz w:val="18"/>
          <w:szCs w:val="18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576B7A" w:rsidRPr="00994FD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«………………….»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right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576B7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B7A" w:rsidRP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3A"/>
    <w:multiLevelType w:val="hybridMultilevel"/>
    <w:tmpl w:val="419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4"/>
    <w:rsid w:val="00344D33"/>
    <w:rsid w:val="00576B7A"/>
    <w:rsid w:val="008A5F0D"/>
    <w:rsid w:val="008A77FD"/>
    <w:rsid w:val="00B72B88"/>
    <w:rsid w:val="00C140E4"/>
    <w:rsid w:val="00D154A1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Форосенко</dc:creator>
  <cp:keywords/>
  <dc:description/>
  <cp:lastModifiedBy>sat156</cp:lastModifiedBy>
  <cp:revision>4</cp:revision>
  <dcterms:created xsi:type="dcterms:W3CDTF">2020-10-16T13:34:00Z</dcterms:created>
  <dcterms:modified xsi:type="dcterms:W3CDTF">2021-11-12T06:34:00Z</dcterms:modified>
</cp:coreProperties>
</file>